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FD" w:rsidRPr="00E76B18" w:rsidRDefault="000069FD" w:rsidP="000069FD">
      <w:pPr>
        <w:spacing w:line="276" w:lineRule="auto"/>
        <w:contextualSpacing/>
        <w:jc w:val="center"/>
        <w:rPr>
          <w:b/>
        </w:rPr>
      </w:pPr>
      <w:r w:rsidRPr="00E76B18">
        <w:rPr>
          <w:b/>
        </w:rPr>
        <w:t xml:space="preserve">Psalm </w:t>
      </w:r>
      <w:r>
        <w:rPr>
          <w:b/>
        </w:rPr>
        <w:t>Seventy</w:t>
      </w:r>
    </w:p>
    <w:p w:rsidR="000069FD" w:rsidRDefault="000069FD" w:rsidP="000069FD">
      <w:pPr>
        <w:spacing w:line="276" w:lineRule="auto"/>
        <w:contextualSpacing/>
        <w:jc w:val="center"/>
        <w:rPr>
          <w:b/>
          <w:i/>
        </w:rPr>
      </w:pPr>
      <w:r w:rsidRPr="006024D5">
        <w:rPr>
          <w:b/>
          <w:i/>
        </w:rPr>
        <w:t>“</w:t>
      </w:r>
      <w:r>
        <w:rPr>
          <w:b/>
          <w:i/>
        </w:rPr>
        <w:t>Make Haste, O God</w:t>
      </w:r>
      <w:r w:rsidRPr="006024D5">
        <w:rPr>
          <w:b/>
          <w:i/>
        </w:rPr>
        <w:t>”</w:t>
      </w:r>
    </w:p>
    <w:p w:rsidR="000069FD" w:rsidRDefault="000069FD" w:rsidP="000069FD">
      <w:pPr>
        <w:spacing w:line="276" w:lineRule="auto"/>
        <w:contextualSpacing/>
        <w:jc w:val="center"/>
        <w:rPr>
          <w:b/>
          <w:i/>
        </w:rPr>
      </w:pPr>
    </w:p>
    <w:p w:rsidR="000069FD" w:rsidRPr="003972E9" w:rsidRDefault="000069FD" w:rsidP="000069FD">
      <w:pPr>
        <w:spacing w:line="276" w:lineRule="auto"/>
        <w:contextualSpacing/>
        <w:jc w:val="both"/>
        <w:rPr>
          <w:b/>
          <w:sz w:val="22"/>
          <w:szCs w:val="22"/>
        </w:rPr>
      </w:pPr>
      <w:r w:rsidRPr="003972E9">
        <w:rPr>
          <w:b/>
          <w:sz w:val="22"/>
          <w:szCs w:val="22"/>
        </w:rPr>
        <w:t>Introduction</w:t>
      </w:r>
    </w:p>
    <w:p w:rsidR="003972E9" w:rsidRPr="003972E9" w:rsidRDefault="003972E9" w:rsidP="003972E9">
      <w:pPr>
        <w:keepNext/>
        <w:framePr w:dropCap="drop" w:lines="3" w:wrap="around" w:vAnchor="text" w:hAnchor="text"/>
        <w:spacing w:line="872" w:lineRule="exact"/>
        <w:jc w:val="both"/>
        <w:textAlignment w:val="baseline"/>
        <w:rPr>
          <w:position w:val="-9"/>
          <w:sz w:val="114"/>
          <w:szCs w:val="22"/>
        </w:rPr>
      </w:pPr>
      <w:r w:rsidRPr="003972E9">
        <w:rPr>
          <w:position w:val="-9"/>
          <w:sz w:val="114"/>
          <w:szCs w:val="22"/>
        </w:rPr>
        <w:t>T</w:t>
      </w:r>
    </w:p>
    <w:p w:rsidR="000069FD" w:rsidRPr="003972E9" w:rsidRDefault="000069FD" w:rsidP="000069FD">
      <w:pPr>
        <w:spacing w:line="276" w:lineRule="auto"/>
        <w:contextualSpacing/>
        <w:jc w:val="both"/>
        <w:rPr>
          <w:sz w:val="22"/>
          <w:szCs w:val="22"/>
        </w:rPr>
      </w:pPr>
      <w:r w:rsidRPr="003972E9">
        <w:rPr>
          <w:sz w:val="22"/>
          <w:szCs w:val="22"/>
        </w:rPr>
        <w:t>he recurrent use of Ps. 40:13-17 is almost identical with the wording of Ps. 70:1-5.  The title is the same except for the addition:</w:t>
      </w:r>
      <w:r w:rsidRPr="003972E9">
        <w:rPr>
          <w:rFonts w:ascii="Arial" w:eastAsiaTheme="minorHAnsi" w:hAnsi="Arial" w:cs="Arial"/>
          <w:b/>
          <w:bCs/>
          <w:sz w:val="22"/>
          <w:szCs w:val="22"/>
          <w:lang w:bidi="he-IL"/>
        </w:rPr>
        <w:t xml:space="preserve"> </w:t>
      </w:r>
      <w:r w:rsidRPr="003972E9">
        <w:rPr>
          <w:rFonts w:eastAsiaTheme="minorHAnsi"/>
          <w:bCs/>
          <w:i/>
          <w:sz w:val="22"/>
          <w:szCs w:val="22"/>
          <w:lang w:bidi="he-IL"/>
        </w:rPr>
        <w:t>“</w:t>
      </w:r>
      <w:r w:rsidRPr="003972E9">
        <w:rPr>
          <w:rFonts w:eastAsiaTheme="minorHAnsi"/>
          <w:i/>
          <w:sz w:val="22"/>
          <w:szCs w:val="22"/>
          <w:lang w:bidi="he-IL"/>
        </w:rPr>
        <w:t>To the chief Musician, A Psalm of David, to bring to remembrance.”</w:t>
      </w:r>
      <w:r w:rsidRPr="003972E9">
        <w:rPr>
          <w:i/>
          <w:sz w:val="22"/>
          <w:szCs w:val="22"/>
        </w:rPr>
        <w:t xml:space="preserve"> </w:t>
      </w:r>
      <w:r w:rsidRPr="003972E9">
        <w:rPr>
          <w:sz w:val="22"/>
          <w:szCs w:val="22"/>
        </w:rPr>
        <w:t xml:space="preserve">The </w:t>
      </w:r>
      <w:r w:rsidRPr="003972E9">
        <w:rPr>
          <w:i/>
          <w:sz w:val="22"/>
          <w:szCs w:val="22"/>
        </w:rPr>
        <w:t>Hiphil</w:t>
      </w:r>
      <w:r w:rsidRPr="003972E9">
        <w:rPr>
          <w:sz w:val="22"/>
          <w:szCs w:val="22"/>
        </w:rPr>
        <w:t xml:space="preserve"> infinitive (</w:t>
      </w:r>
      <w:proofErr w:type="spellStart"/>
      <w:r w:rsidRPr="003972E9">
        <w:rPr>
          <w:i/>
          <w:sz w:val="22"/>
          <w:szCs w:val="22"/>
        </w:rPr>
        <w:t>lehazciyr</w:t>
      </w:r>
      <w:proofErr w:type="spellEnd"/>
      <w:r w:rsidRPr="003972E9">
        <w:rPr>
          <w:sz w:val="22"/>
          <w:szCs w:val="22"/>
        </w:rPr>
        <w:t>)</w:t>
      </w:r>
      <w:r w:rsidRPr="003972E9">
        <w:rPr>
          <w:rStyle w:val="FootnoteReference"/>
          <w:sz w:val="22"/>
          <w:szCs w:val="22"/>
        </w:rPr>
        <w:footnoteReference w:id="1"/>
      </w:r>
      <w:r w:rsidRPr="003972E9">
        <w:rPr>
          <w:sz w:val="22"/>
          <w:szCs w:val="22"/>
        </w:rPr>
        <w:t xml:space="preserve"> gives the purpose of remembrance for this messianic Psalm: to make haste in deliverance! Jesus of Nazareth implored the Father to remember to </w:t>
      </w:r>
      <w:r w:rsidRPr="003972E9">
        <w:rPr>
          <w:i/>
          <w:sz w:val="22"/>
          <w:szCs w:val="22"/>
        </w:rPr>
        <w:t>“make haste”</w:t>
      </w:r>
      <w:r w:rsidRPr="003972E9">
        <w:rPr>
          <w:sz w:val="22"/>
          <w:szCs w:val="22"/>
        </w:rPr>
        <w:t xml:space="preserve"> in deliverance regarding the agony the Saviour faced. The Apostle Paul confirmed that Ps. 40:1-17 referred to the redemptive life and work of the Lord Jesus Christ by applying Ps. 40:6-8 to the sacrificial death of Christ (Heb. 10:5-7).</w:t>
      </w:r>
      <w:r w:rsidRPr="003972E9">
        <w:rPr>
          <w:rStyle w:val="FootnoteReference"/>
          <w:sz w:val="22"/>
          <w:szCs w:val="22"/>
        </w:rPr>
        <w:footnoteReference w:id="2"/>
      </w:r>
      <w:r w:rsidRPr="003972E9">
        <w:rPr>
          <w:sz w:val="22"/>
          <w:szCs w:val="22"/>
        </w:rPr>
        <w:t xml:space="preserve">  David wrote Ps. 40 as a prophecy to express the Lord’s joy in suffering for the sins of the world (cf. Heb. 12:2).  He did not suffer as did the Lord obviously (cf. Ps. 22:1; Mt. 27:46), because the suffering of the psalmist was a mere shadow of the substance of the divinely unique suffering of the precious Lord Jesus Christ. The psalmist David did express the Lord’s Praise for His Deliverance (vv. 1-5) and Opportunities (vv. 6-10), and the Lord’s Petitions for His Deliverance (vv. 11-13) and Vindication (vv. 14-17).</w:t>
      </w:r>
      <w:r w:rsidRPr="003972E9">
        <w:rPr>
          <w:rStyle w:val="FootnoteReference"/>
          <w:sz w:val="22"/>
          <w:szCs w:val="22"/>
        </w:rPr>
        <w:footnoteReference w:id="3"/>
      </w:r>
    </w:p>
    <w:p w:rsidR="000069FD" w:rsidRPr="003972E9" w:rsidRDefault="000069FD" w:rsidP="000069FD">
      <w:pPr>
        <w:spacing w:line="276" w:lineRule="auto"/>
        <w:contextualSpacing/>
        <w:jc w:val="both"/>
        <w:rPr>
          <w:b/>
          <w:sz w:val="22"/>
          <w:szCs w:val="22"/>
        </w:rPr>
      </w:pPr>
      <w:r w:rsidRPr="003972E9">
        <w:rPr>
          <w:b/>
          <w:sz w:val="22"/>
          <w:szCs w:val="22"/>
        </w:rPr>
        <w:t>Structure</w:t>
      </w:r>
    </w:p>
    <w:p w:rsidR="000069FD" w:rsidRPr="003972E9" w:rsidRDefault="000069FD" w:rsidP="000069FD">
      <w:pPr>
        <w:spacing w:line="276" w:lineRule="auto"/>
        <w:ind w:firstLine="720"/>
        <w:contextualSpacing/>
        <w:jc w:val="both"/>
        <w:rPr>
          <w:sz w:val="22"/>
          <w:szCs w:val="22"/>
        </w:rPr>
      </w:pPr>
      <w:r w:rsidRPr="003972E9">
        <w:rPr>
          <w:sz w:val="22"/>
          <w:szCs w:val="22"/>
        </w:rPr>
        <w:t xml:space="preserve">The structure for the messianic Ps. 70:1-5 focused on the remembrance of the proleptic plea of the coming Saviour for hasty deliverance. The repetition of the wording of Ps. 40:13-17 was the inspired effort to remind the present audience that One greater than David was coming to experience the ultimate suffering for the redemption of man (Isa. 52:13-53:12). This short psalm finds organization around the following chiasm. </w:t>
      </w:r>
    </w:p>
    <w:p w:rsidR="000069FD" w:rsidRPr="003972E9" w:rsidRDefault="000069FD" w:rsidP="000069FD">
      <w:pPr>
        <w:spacing w:line="276" w:lineRule="auto"/>
        <w:contextualSpacing/>
        <w:jc w:val="both"/>
        <w:rPr>
          <w:b/>
          <w:sz w:val="20"/>
          <w:szCs w:val="20"/>
        </w:rPr>
      </w:pPr>
      <w:r w:rsidRPr="003972E9">
        <w:rPr>
          <w:b/>
          <w:sz w:val="20"/>
          <w:szCs w:val="20"/>
        </w:rPr>
        <w:t>A. Remembrance for Hasty Deliverance (v. 1)</w:t>
      </w:r>
    </w:p>
    <w:p w:rsidR="000069FD" w:rsidRPr="003972E9" w:rsidRDefault="000069FD" w:rsidP="000069FD">
      <w:pPr>
        <w:spacing w:line="276" w:lineRule="auto"/>
        <w:ind w:firstLine="720"/>
        <w:contextualSpacing/>
        <w:jc w:val="both"/>
        <w:rPr>
          <w:b/>
          <w:sz w:val="20"/>
          <w:szCs w:val="20"/>
        </w:rPr>
      </w:pPr>
      <w:r w:rsidRPr="003972E9">
        <w:rPr>
          <w:b/>
          <w:sz w:val="20"/>
          <w:szCs w:val="20"/>
        </w:rPr>
        <w:t>B. Remembrance for Retribution on Sinners (vv.2-3)</w:t>
      </w:r>
    </w:p>
    <w:p w:rsidR="000069FD" w:rsidRPr="003972E9" w:rsidRDefault="000069FD" w:rsidP="000069FD">
      <w:pPr>
        <w:spacing w:line="276" w:lineRule="auto"/>
        <w:ind w:firstLine="720"/>
        <w:contextualSpacing/>
        <w:jc w:val="both"/>
        <w:rPr>
          <w:b/>
          <w:sz w:val="20"/>
          <w:szCs w:val="20"/>
        </w:rPr>
      </w:pPr>
      <w:r w:rsidRPr="003972E9">
        <w:rPr>
          <w:b/>
          <w:sz w:val="20"/>
          <w:szCs w:val="20"/>
        </w:rPr>
        <w:t>B.’ Remembrance for Rejoicing of Saints (v. 4)</w:t>
      </w:r>
    </w:p>
    <w:p w:rsidR="000069FD" w:rsidRPr="003972E9" w:rsidRDefault="000069FD" w:rsidP="000069FD">
      <w:pPr>
        <w:spacing w:line="276" w:lineRule="auto"/>
        <w:contextualSpacing/>
        <w:jc w:val="both"/>
        <w:rPr>
          <w:b/>
          <w:sz w:val="20"/>
          <w:szCs w:val="20"/>
        </w:rPr>
      </w:pPr>
      <w:r w:rsidRPr="003972E9">
        <w:rPr>
          <w:b/>
          <w:sz w:val="20"/>
          <w:szCs w:val="20"/>
        </w:rPr>
        <w:t>A.’ Remembrance for Hasty Deliverance (v. 5)</w:t>
      </w:r>
    </w:p>
    <w:p w:rsidR="000069FD" w:rsidRPr="003972E9" w:rsidRDefault="000069FD" w:rsidP="000069FD">
      <w:pPr>
        <w:spacing w:line="276" w:lineRule="auto"/>
        <w:contextualSpacing/>
        <w:jc w:val="both"/>
        <w:rPr>
          <w:sz w:val="22"/>
          <w:szCs w:val="22"/>
        </w:rPr>
      </w:pPr>
    </w:p>
    <w:p w:rsidR="000069FD" w:rsidRPr="003972E9" w:rsidRDefault="000069FD" w:rsidP="000069FD">
      <w:pPr>
        <w:spacing w:line="276" w:lineRule="auto"/>
        <w:ind w:firstLine="720"/>
        <w:contextualSpacing/>
        <w:jc w:val="both"/>
        <w:rPr>
          <w:sz w:val="22"/>
          <w:szCs w:val="22"/>
        </w:rPr>
      </w:pPr>
      <w:r w:rsidRPr="003972E9">
        <w:rPr>
          <w:sz w:val="22"/>
          <w:szCs w:val="22"/>
        </w:rPr>
        <w:t xml:space="preserve">Although both passages (Ps. 40:13-17 and Ps. 70:1-5) are essentially the same in words, content, and interpretation, there are several places of divergence. For instance, Ps. 40:13-17 has five more Hebrew words than Ps. 70:1-5. Second, the former psalm referred to </w:t>
      </w:r>
      <w:r w:rsidRPr="003972E9">
        <w:rPr>
          <w:i/>
          <w:sz w:val="22"/>
          <w:szCs w:val="22"/>
        </w:rPr>
        <w:t>“LORD”</w:t>
      </w:r>
      <w:r w:rsidRPr="003972E9">
        <w:rPr>
          <w:sz w:val="22"/>
          <w:szCs w:val="22"/>
        </w:rPr>
        <w:t xml:space="preserve"> (</w:t>
      </w:r>
      <w:r w:rsidRPr="003972E9">
        <w:rPr>
          <w:i/>
          <w:sz w:val="22"/>
          <w:szCs w:val="22"/>
        </w:rPr>
        <w:t>Jehovah</w:t>
      </w:r>
      <w:r w:rsidRPr="003972E9">
        <w:rPr>
          <w:sz w:val="22"/>
          <w:szCs w:val="22"/>
        </w:rPr>
        <w:t xml:space="preserve">) three times, </w:t>
      </w:r>
      <w:r w:rsidRPr="003972E9">
        <w:rPr>
          <w:i/>
          <w:sz w:val="22"/>
          <w:szCs w:val="22"/>
        </w:rPr>
        <w:t>“Lord”</w:t>
      </w:r>
      <w:r w:rsidRPr="003972E9">
        <w:rPr>
          <w:sz w:val="22"/>
          <w:szCs w:val="22"/>
        </w:rPr>
        <w:t xml:space="preserve"> (</w:t>
      </w:r>
      <w:r w:rsidRPr="003972E9">
        <w:rPr>
          <w:i/>
          <w:sz w:val="22"/>
          <w:szCs w:val="22"/>
        </w:rPr>
        <w:t>‘Adonay</w:t>
      </w:r>
      <w:r w:rsidRPr="003972E9">
        <w:rPr>
          <w:sz w:val="22"/>
          <w:szCs w:val="22"/>
        </w:rPr>
        <w:t xml:space="preserve">) one time, and </w:t>
      </w:r>
      <w:r w:rsidRPr="003972E9">
        <w:rPr>
          <w:i/>
          <w:sz w:val="22"/>
          <w:szCs w:val="22"/>
        </w:rPr>
        <w:t>“God”</w:t>
      </w:r>
      <w:r w:rsidRPr="003972E9">
        <w:rPr>
          <w:sz w:val="22"/>
          <w:szCs w:val="22"/>
        </w:rPr>
        <w:t xml:space="preserve"> (</w:t>
      </w:r>
      <w:r w:rsidRPr="003972E9">
        <w:rPr>
          <w:i/>
          <w:sz w:val="22"/>
          <w:szCs w:val="22"/>
        </w:rPr>
        <w:t>‘Elohiym</w:t>
      </w:r>
      <w:r w:rsidRPr="003972E9">
        <w:rPr>
          <w:sz w:val="22"/>
          <w:szCs w:val="22"/>
        </w:rPr>
        <w:t xml:space="preserve">) once. The latter used </w:t>
      </w:r>
      <w:r w:rsidRPr="003972E9">
        <w:rPr>
          <w:i/>
          <w:sz w:val="22"/>
          <w:szCs w:val="22"/>
        </w:rPr>
        <w:t>“God”</w:t>
      </w:r>
      <w:r w:rsidRPr="003972E9">
        <w:rPr>
          <w:sz w:val="22"/>
          <w:szCs w:val="22"/>
        </w:rPr>
        <w:t xml:space="preserve"> (</w:t>
      </w:r>
      <w:r w:rsidRPr="003972E9">
        <w:rPr>
          <w:i/>
          <w:sz w:val="22"/>
          <w:szCs w:val="22"/>
        </w:rPr>
        <w:t>‘Elohiym</w:t>
      </w:r>
      <w:r w:rsidRPr="003972E9">
        <w:rPr>
          <w:sz w:val="22"/>
          <w:szCs w:val="22"/>
        </w:rPr>
        <w:t xml:space="preserve">) three times and </w:t>
      </w:r>
      <w:r w:rsidRPr="003972E9">
        <w:rPr>
          <w:i/>
          <w:sz w:val="22"/>
          <w:szCs w:val="22"/>
        </w:rPr>
        <w:t>“LORD”</w:t>
      </w:r>
      <w:r w:rsidRPr="003972E9">
        <w:rPr>
          <w:sz w:val="22"/>
          <w:szCs w:val="22"/>
        </w:rPr>
        <w:t xml:space="preserve"> (</w:t>
      </w:r>
      <w:r w:rsidRPr="003972E9">
        <w:rPr>
          <w:i/>
          <w:sz w:val="22"/>
          <w:szCs w:val="22"/>
        </w:rPr>
        <w:t>Jehovah</w:t>
      </w:r>
      <w:r w:rsidRPr="003972E9">
        <w:rPr>
          <w:sz w:val="22"/>
          <w:szCs w:val="22"/>
        </w:rPr>
        <w:t xml:space="preserve">) twice. Third, the </w:t>
      </w:r>
      <w:r w:rsidRPr="003972E9">
        <w:rPr>
          <w:i/>
          <w:sz w:val="22"/>
          <w:szCs w:val="22"/>
        </w:rPr>
        <w:t xml:space="preserve">Qal </w:t>
      </w:r>
      <w:r w:rsidRPr="003972E9">
        <w:rPr>
          <w:sz w:val="22"/>
          <w:szCs w:val="22"/>
        </w:rPr>
        <w:t xml:space="preserve">imperative </w:t>
      </w:r>
      <w:r w:rsidRPr="003972E9">
        <w:rPr>
          <w:i/>
          <w:sz w:val="22"/>
          <w:szCs w:val="22"/>
        </w:rPr>
        <w:t>“make haste”</w:t>
      </w:r>
      <w:r w:rsidRPr="003972E9">
        <w:rPr>
          <w:sz w:val="22"/>
          <w:szCs w:val="22"/>
        </w:rPr>
        <w:t xml:space="preserve"> (</w:t>
      </w:r>
      <w:r w:rsidRPr="003972E9">
        <w:rPr>
          <w:i/>
          <w:sz w:val="22"/>
          <w:szCs w:val="22"/>
        </w:rPr>
        <w:t>chushah</w:t>
      </w:r>
      <w:r w:rsidRPr="003972E9">
        <w:rPr>
          <w:sz w:val="22"/>
          <w:szCs w:val="22"/>
        </w:rPr>
        <w:t>) occurred twice in the second passage (Ps. 70:1, 5) and only once in the first (Ps. 40:13).</w:t>
      </w:r>
      <w:r w:rsidRPr="003972E9">
        <w:rPr>
          <w:rFonts w:ascii="Bwhebb" w:eastAsiaTheme="minorHAnsi" w:hAnsi="Bwhebb" w:cs="Bwhebb"/>
          <w:sz w:val="22"/>
          <w:szCs w:val="22"/>
          <w:lang w:bidi="he-IL"/>
        </w:rPr>
        <w:t xml:space="preserve"> </w:t>
      </w:r>
    </w:p>
    <w:p w:rsidR="000069FD" w:rsidRPr="003972E9" w:rsidRDefault="000069FD" w:rsidP="000069FD">
      <w:pPr>
        <w:spacing w:line="276" w:lineRule="auto"/>
        <w:contextualSpacing/>
        <w:jc w:val="both"/>
        <w:rPr>
          <w:b/>
          <w:sz w:val="22"/>
          <w:szCs w:val="22"/>
        </w:rPr>
      </w:pPr>
      <w:r w:rsidRPr="003972E9">
        <w:rPr>
          <w:b/>
          <w:sz w:val="22"/>
          <w:szCs w:val="22"/>
        </w:rPr>
        <w:t>Exegesis</w:t>
      </w:r>
      <w:r w:rsidR="003972E9">
        <w:rPr>
          <w:b/>
          <w:sz w:val="22"/>
          <w:szCs w:val="22"/>
        </w:rPr>
        <w:t xml:space="preserve"> (vv. 1-5)</w:t>
      </w:r>
    </w:p>
    <w:p w:rsidR="000069FD" w:rsidRPr="003972E9" w:rsidRDefault="000069FD" w:rsidP="000069FD">
      <w:pPr>
        <w:spacing w:line="276" w:lineRule="auto"/>
        <w:ind w:left="720" w:firstLine="720"/>
        <w:contextualSpacing/>
        <w:jc w:val="both"/>
        <w:rPr>
          <w:b/>
          <w:i/>
          <w:sz w:val="22"/>
          <w:szCs w:val="22"/>
        </w:rPr>
      </w:pPr>
      <w:r w:rsidRPr="003972E9">
        <w:rPr>
          <w:rFonts w:eastAsiaTheme="minorHAnsi"/>
          <w:b/>
          <w:i/>
          <w:sz w:val="22"/>
          <w:szCs w:val="22"/>
          <w:lang w:bidi="he-IL"/>
        </w:rPr>
        <w:t>To the chief Musician, A Psalm of David, to bring to remembrance. Make haste, O God, to deliver me; make haste to help me, O LORD. Let them be ashamed and confounded that seek after my soul: let them be turned backward, and put to confusion, that desire my hurt.  Let them be turned back for a reward of their shame that say, Aha, aha.  Let all those that seek thee rejoice and be glad in thee: and let such as love thy salvation say continually, Let God be magnified.  But I am poor and needy: make haste unto me, O God: thou art my help and my deliverer; O LORD, make no tarrying.</w:t>
      </w:r>
    </w:p>
    <w:p w:rsidR="000069FD" w:rsidRPr="003972E9" w:rsidRDefault="000069FD" w:rsidP="000069FD">
      <w:pPr>
        <w:spacing w:line="276" w:lineRule="auto"/>
        <w:contextualSpacing/>
        <w:jc w:val="both"/>
        <w:rPr>
          <w:sz w:val="22"/>
          <w:szCs w:val="22"/>
        </w:rPr>
      </w:pPr>
    </w:p>
    <w:p w:rsidR="000069FD" w:rsidRPr="003972E9" w:rsidRDefault="000069FD" w:rsidP="000069FD">
      <w:pPr>
        <w:spacing w:line="276" w:lineRule="auto"/>
        <w:ind w:firstLine="720"/>
        <w:contextualSpacing/>
        <w:jc w:val="both"/>
        <w:rPr>
          <w:sz w:val="22"/>
          <w:szCs w:val="22"/>
        </w:rPr>
      </w:pPr>
      <w:r w:rsidRPr="003972E9">
        <w:rPr>
          <w:sz w:val="22"/>
          <w:szCs w:val="22"/>
        </w:rPr>
        <w:t xml:space="preserve">The focus of both portions of Scripture ultimately referred to Jesus of Nazareth. The Apostle Paul utilized the passage (Ps. 40:6-8) for his argument concerning the crucifixion of the Saviour (Heb. 10:5-7). His point was that the obedient Son of God gave His body as the final sacrifice for the sins of the world (cf. Heb. 10:10; I Pet. 3:18; I Jn. 2:2).  The Apostle had access to Ps. 40:6-8 as he declared, </w:t>
      </w:r>
      <w:r w:rsidRPr="003972E9">
        <w:rPr>
          <w:i/>
          <w:sz w:val="22"/>
          <w:szCs w:val="22"/>
        </w:rPr>
        <w:t xml:space="preserve">“it is written” </w:t>
      </w:r>
      <w:r w:rsidRPr="003972E9">
        <w:rPr>
          <w:sz w:val="22"/>
          <w:szCs w:val="22"/>
        </w:rPr>
        <w:t>(</w:t>
      </w:r>
      <w:r w:rsidRPr="003972E9">
        <w:rPr>
          <w:i/>
          <w:sz w:val="22"/>
          <w:szCs w:val="22"/>
        </w:rPr>
        <w:t>gegraptai</w:t>
      </w:r>
      <w:r w:rsidRPr="003972E9">
        <w:rPr>
          <w:sz w:val="22"/>
          <w:szCs w:val="22"/>
        </w:rPr>
        <w:t xml:space="preserve">), indicating that the written document by David had continuing results down to his day; the words were perfectly preserved! Paul also gave his inspired running commentary or </w:t>
      </w:r>
      <w:r w:rsidRPr="003972E9">
        <w:rPr>
          <w:i/>
          <w:sz w:val="22"/>
          <w:szCs w:val="22"/>
        </w:rPr>
        <w:t>Targum</w:t>
      </w:r>
      <w:r w:rsidRPr="003972E9">
        <w:rPr>
          <w:sz w:val="22"/>
          <w:szCs w:val="22"/>
        </w:rPr>
        <w:t xml:space="preserve"> on this portion of the Psalter.  He expanded the meaning of Ps. 40:6-8 to demonstrate that the </w:t>
      </w:r>
      <w:r w:rsidRPr="003972E9">
        <w:rPr>
          <w:sz w:val="22"/>
          <w:szCs w:val="22"/>
        </w:rPr>
        <w:lastRenderedPageBreak/>
        <w:t xml:space="preserve">Messiah was obedient even to offering His body as the final sacrifice.  The Apostle changed several words in the Hebrew psalm to reflect his inspired </w:t>
      </w:r>
      <w:r w:rsidRPr="003972E9">
        <w:rPr>
          <w:i/>
          <w:sz w:val="22"/>
          <w:szCs w:val="22"/>
        </w:rPr>
        <w:t>Targum</w:t>
      </w:r>
      <w:r w:rsidRPr="003972E9">
        <w:rPr>
          <w:sz w:val="22"/>
          <w:szCs w:val="22"/>
        </w:rPr>
        <w:t xml:space="preserve">. The most notable change was the employment of the Greek word </w:t>
      </w:r>
      <w:r w:rsidRPr="003972E9">
        <w:rPr>
          <w:i/>
          <w:sz w:val="22"/>
          <w:szCs w:val="22"/>
        </w:rPr>
        <w:t>“body”</w:t>
      </w:r>
      <w:r w:rsidRPr="003972E9">
        <w:rPr>
          <w:sz w:val="22"/>
          <w:szCs w:val="22"/>
        </w:rPr>
        <w:t xml:space="preserve"> (</w:t>
      </w:r>
      <w:r w:rsidRPr="003972E9">
        <w:rPr>
          <w:i/>
          <w:sz w:val="22"/>
          <w:szCs w:val="22"/>
        </w:rPr>
        <w:t>soma</w:t>
      </w:r>
      <w:r w:rsidRPr="003972E9">
        <w:rPr>
          <w:sz w:val="22"/>
          <w:szCs w:val="22"/>
        </w:rPr>
        <w:t xml:space="preserve">) for Hebrew </w:t>
      </w:r>
      <w:r w:rsidRPr="003972E9">
        <w:rPr>
          <w:i/>
          <w:sz w:val="22"/>
          <w:szCs w:val="22"/>
        </w:rPr>
        <w:t>“ears”</w:t>
      </w:r>
      <w:r w:rsidRPr="003972E9">
        <w:rPr>
          <w:sz w:val="22"/>
          <w:szCs w:val="22"/>
        </w:rPr>
        <w:t xml:space="preserve"> (</w:t>
      </w:r>
      <w:r w:rsidRPr="003972E9">
        <w:rPr>
          <w:i/>
          <w:sz w:val="22"/>
          <w:szCs w:val="22"/>
        </w:rPr>
        <w:t>‘</w:t>
      </w:r>
      <w:proofErr w:type="spellStart"/>
      <w:r w:rsidRPr="003972E9">
        <w:rPr>
          <w:i/>
          <w:sz w:val="22"/>
          <w:szCs w:val="22"/>
        </w:rPr>
        <w:t>azenayim</w:t>
      </w:r>
      <w:proofErr w:type="spellEnd"/>
      <w:r w:rsidRPr="003972E9">
        <w:rPr>
          <w:sz w:val="22"/>
          <w:szCs w:val="22"/>
        </w:rPr>
        <w:t xml:space="preserve">).  Paul recognized that the Hebrew idiom </w:t>
      </w:r>
      <w:r w:rsidRPr="003972E9">
        <w:rPr>
          <w:i/>
          <w:sz w:val="22"/>
          <w:szCs w:val="22"/>
        </w:rPr>
        <w:t xml:space="preserve">“opened </w:t>
      </w:r>
      <w:r w:rsidRPr="003972E9">
        <w:rPr>
          <w:sz w:val="22"/>
          <w:szCs w:val="22"/>
        </w:rPr>
        <w:t>(</w:t>
      </w:r>
      <w:proofErr w:type="spellStart"/>
      <w:r w:rsidRPr="003972E9">
        <w:rPr>
          <w:i/>
          <w:sz w:val="22"/>
          <w:szCs w:val="22"/>
        </w:rPr>
        <w:t>cariyth</w:t>
      </w:r>
      <w:proofErr w:type="spellEnd"/>
      <w:r w:rsidRPr="003972E9">
        <w:rPr>
          <w:sz w:val="22"/>
          <w:szCs w:val="22"/>
        </w:rPr>
        <w:t>)</w:t>
      </w:r>
      <w:r w:rsidRPr="003972E9">
        <w:rPr>
          <w:i/>
          <w:sz w:val="22"/>
          <w:szCs w:val="22"/>
        </w:rPr>
        <w:t xml:space="preserve"> ears”</w:t>
      </w:r>
      <w:r w:rsidRPr="003972E9">
        <w:rPr>
          <w:sz w:val="22"/>
          <w:szCs w:val="22"/>
        </w:rPr>
        <w:t xml:space="preserve"> represented not only the Servant’s willingness to hear but also to obey (cf. Isa. 50:5-6).</w:t>
      </w:r>
      <w:r w:rsidRPr="003972E9">
        <w:rPr>
          <w:rStyle w:val="FootnoteReference"/>
          <w:sz w:val="22"/>
          <w:szCs w:val="22"/>
        </w:rPr>
        <w:footnoteReference w:id="4"/>
      </w:r>
    </w:p>
    <w:p w:rsidR="000069FD" w:rsidRPr="003972E9" w:rsidRDefault="000069FD" w:rsidP="000069FD">
      <w:pPr>
        <w:spacing w:line="276" w:lineRule="auto"/>
        <w:ind w:firstLine="720"/>
        <w:contextualSpacing/>
        <w:jc w:val="both"/>
        <w:rPr>
          <w:sz w:val="22"/>
          <w:szCs w:val="22"/>
        </w:rPr>
      </w:pPr>
      <w:r w:rsidRPr="003972E9">
        <w:rPr>
          <w:sz w:val="22"/>
          <w:szCs w:val="22"/>
        </w:rPr>
        <w:t xml:space="preserve">Now, David prophesied additional words of the Lord Jesus’ intimate conversation with the Father. The Son praised the Father for the opportunity to offer His body as the ultimate sacrifice for the sins of man. The Lord Jesus delighted in doing the will of God, in spite of great personal cost and suffering. He implored the Father </w:t>
      </w:r>
      <w:r w:rsidRPr="003972E9">
        <w:rPr>
          <w:i/>
          <w:sz w:val="22"/>
          <w:szCs w:val="22"/>
        </w:rPr>
        <w:t>“to bring to remembrance”</w:t>
      </w:r>
      <w:r w:rsidRPr="003972E9">
        <w:rPr>
          <w:sz w:val="22"/>
          <w:szCs w:val="22"/>
        </w:rPr>
        <w:t xml:space="preserve"> (</w:t>
      </w:r>
      <w:r w:rsidRPr="003972E9">
        <w:rPr>
          <w:i/>
          <w:sz w:val="22"/>
          <w:szCs w:val="22"/>
        </w:rPr>
        <w:t xml:space="preserve">zacar </w:t>
      </w:r>
      <w:r w:rsidRPr="003972E9">
        <w:rPr>
          <w:sz w:val="22"/>
          <w:szCs w:val="22"/>
        </w:rPr>
        <w:t>[233x])</w:t>
      </w:r>
      <w:r w:rsidRPr="003972E9">
        <w:rPr>
          <w:rStyle w:val="FootnoteReference"/>
          <w:sz w:val="22"/>
          <w:szCs w:val="22"/>
        </w:rPr>
        <w:footnoteReference w:id="5"/>
      </w:r>
      <w:r w:rsidRPr="003972E9">
        <w:rPr>
          <w:sz w:val="22"/>
          <w:szCs w:val="22"/>
        </w:rPr>
        <w:t xml:space="preserve"> Him in the excruciating suffering, and </w:t>
      </w:r>
      <w:r w:rsidRPr="003972E9">
        <w:rPr>
          <w:i/>
          <w:sz w:val="22"/>
          <w:szCs w:val="22"/>
        </w:rPr>
        <w:t xml:space="preserve">“make haste” </w:t>
      </w:r>
      <w:r w:rsidRPr="003972E9">
        <w:rPr>
          <w:sz w:val="22"/>
          <w:szCs w:val="22"/>
        </w:rPr>
        <w:t>(</w:t>
      </w:r>
      <w:r w:rsidRPr="003972E9">
        <w:rPr>
          <w:i/>
          <w:sz w:val="22"/>
          <w:szCs w:val="22"/>
        </w:rPr>
        <w:t>chushah</w:t>
      </w:r>
      <w:r w:rsidRPr="003972E9">
        <w:rPr>
          <w:sz w:val="22"/>
          <w:szCs w:val="22"/>
        </w:rPr>
        <w:t>)</w:t>
      </w:r>
      <w:r w:rsidRPr="003972E9">
        <w:rPr>
          <w:rStyle w:val="FootnoteReference"/>
          <w:sz w:val="22"/>
          <w:szCs w:val="22"/>
        </w:rPr>
        <w:footnoteReference w:id="6"/>
      </w:r>
      <w:r w:rsidRPr="003972E9">
        <w:rPr>
          <w:sz w:val="22"/>
          <w:szCs w:val="22"/>
        </w:rPr>
        <w:t xml:space="preserve"> by ending the crucifixion! The psalmist presently repeated the plea for hasty deliverance in chiastic form, and converged back on deliverance and retribution. So intense was the suffering of Jesus of Nazareth for Adam’s race that He was overwhelmed with grief, pleading for the Father to </w:t>
      </w:r>
      <w:r w:rsidRPr="003972E9">
        <w:rPr>
          <w:i/>
          <w:sz w:val="22"/>
          <w:szCs w:val="22"/>
        </w:rPr>
        <w:t>“make haste”</w:t>
      </w:r>
      <w:r w:rsidRPr="003972E9">
        <w:rPr>
          <w:sz w:val="22"/>
          <w:szCs w:val="22"/>
        </w:rPr>
        <w:t xml:space="preserve"> </w:t>
      </w:r>
      <w:r w:rsidRPr="003972E9">
        <w:rPr>
          <w:i/>
          <w:sz w:val="22"/>
          <w:szCs w:val="22"/>
        </w:rPr>
        <w:t>“to deliver”</w:t>
      </w:r>
      <w:r w:rsidRPr="003972E9">
        <w:rPr>
          <w:sz w:val="22"/>
          <w:szCs w:val="22"/>
        </w:rPr>
        <w:t xml:space="preserve"> (</w:t>
      </w:r>
      <w:r w:rsidRPr="003972E9">
        <w:rPr>
          <w:i/>
          <w:sz w:val="22"/>
          <w:szCs w:val="22"/>
        </w:rPr>
        <w:t>natzal</w:t>
      </w:r>
      <w:r w:rsidRPr="003972E9">
        <w:rPr>
          <w:sz w:val="22"/>
          <w:szCs w:val="22"/>
        </w:rPr>
        <w:t xml:space="preserve">) and </w:t>
      </w:r>
      <w:r w:rsidRPr="003972E9">
        <w:rPr>
          <w:i/>
          <w:sz w:val="22"/>
          <w:szCs w:val="22"/>
        </w:rPr>
        <w:t>“to help”</w:t>
      </w:r>
      <w:r w:rsidRPr="003972E9">
        <w:rPr>
          <w:sz w:val="22"/>
          <w:szCs w:val="22"/>
        </w:rPr>
        <w:t xml:space="preserve"> (</w:t>
      </w:r>
      <w:r w:rsidRPr="003972E9">
        <w:rPr>
          <w:i/>
          <w:sz w:val="22"/>
          <w:szCs w:val="22"/>
        </w:rPr>
        <w:t>`ezrah</w:t>
      </w:r>
      <w:r w:rsidRPr="003972E9">
        <w:rPr>
          <w:sz w:val="22"/>
          <w:szCs w:val="22"/>
        </w:rPr>
        <w:t>).</w:t>
      </w:r>
      <w:r w:rsidRPr="003972E9">
        <w:rPr>
          <w:rStyle w:val="FootnoteReference"/>
          <w:sz w:val="22"/>
          <w:szCs w:val="22"/>
        </w:rPr>
        <w:footnoteReference w:id="7"/>
      </w:r>
      <w:r w:rsidRPr="003972E9">
        <w:rPr>
          <w:sz w:val="22"/>
          <w:szCs w:val="22"/>
        </w:rPr>
        <w:t xml:space="preserve">  </w:t>
      </w:r>
    </w:p>
    <w:p w:rsidR="000069FD" w:rsidRPr="003972E9" w:rsidRDefault="000069FD" w:rsidP="000069FD">
      <w:pPr>
        <w:spacing w:line="276" w:lineRule="auto"/>
        <w:contextualSpacing/>
        <w:jc w:val="both"/>
        <w:rPr>
          <w:sz w:val="22"/>
          <w:szCs w:val="22"/>
        </w:rPr>
      </w:pPr>
      <w:r w:rsidRPr="003972E9">
        <w:rPr>
          <w:sz w:val="22"/>
          <w:szCs w:val="22"/>
        </w:rPr>
        <w:tab/>
        <w:t>The Greater David petitioned the Father that He would vindicate the greatest injustice in human history</w:t>
      </w:r>
      <w:r w:rsidRPr="003972E9">
        <w:rPr>
          <w:i/>
          <w:sz w:val="22"/>
          <w:szCs w:val="22"/>
        </w:rPr>
        <w:t>—“the just for the unjust”</w:t>
      </w:r>
      <w:r w:rsidRPr="003972E9">
        <w:rPr>
          <w:sz w:val="22"/>
          <w:szCs w:val="22"/>
        </w:rPr>
        <w:t xml:space="preserve"> (I Pet. 3:18).  In a series of riveting requests of the imprecatory nature, the Lord Jesus prayed for His Father to vindicate His suffering and death. He used five imperfect or </w:t>
      </w:r>
      <w:r w:rsidRPr="003972E9">
        <w:rPr>
          <w:i/>
          <w:sz w:val="22"/>
          <w:szCs w:val="22"/>
        </w:rPr>
        <w:t xml:space="preserve">jussive </w:t>
      </w:r>
      <w:r w:rsidRPr="003972E9">
        <w:rPr>
          <w:sz w:val="22"/>
          <w:szCs w:val="22"/>
        </w:rPr>
        <w:t>verbs (</w:t>
      </w:r>
      <w:r w:rsidRPr="003972E9">
        <w:rPr>
          <w:i/>
          <w:sz w:val="22"/>
          <w:szCs w:val="22"/>
        </w:rPr>
        <w:t>“let…”</w:t>
      </w:r>
      <w:r w:rsidRPr="003972E9">
        <w:rPr>
          <w:sz w:val="22"/>
          <w:szCs w:val="22"/>
        </w:rPr>
        <w:t>) requesting vengeance on the enemies of the Cross (cf. commentary on Ps. 69). He asked the Father to deal with these enemies so that they would be ashamed (</w:t>
      </w:r>
      <w:r w:rsidRPr="003972E9">
        <w:rPr>
          <w:i/>
          <w:sz w:val="22"/>
          <w:szCs w:val="22"/>
        </w:rPr>
        <w:t>bosh</w:t>
      </w:r>
      <w:r w:rsidRPr="003972E9">
        <w:rPr>
          <w:sz w:val="22"/>
          <w:szCs w:val="22"/>
        </w:rPr>
        <w:t>), be confounded (</w:t>
      </w:r>
      <w:proofErr w:type="spellStart"/>
      <w:r w:rsidRPr="003972E9">
        <w:rPr>
          <w:i/>
          <w:sz w:val="22"/>
          <w:szCs w:val="22"/>
        </w:rPr>
        <w:t>chapher</w:t>
      </w:r>
      <w:proofErr w:type="spellEnd"/>
      <w:r w:rsidRPr="003972E9">
        <w:rPr>
          <w:sz w:val="22"/>
          <w:szCs w:val="22"/>
        </w:rPr>
        <w:t>), driven backward (</w:t>
      </w:r>
      <w:r w:rsidRPr="003972E9">
        <w:rPr>
          <w:i/>
          <w:sz w:val="22"/>
          <w:szCs w:val="22"/>
        </w:rPr>
        <w:t>sug</w:t>
      </w:r>
      <w:r w:rsidRPr="003972E9">
        <w:rPr>
          <w:sz w:val="22"/>
          <w:szCs w:val="22"/>
        </w:rPr>
        <w:t>), put to shame (</w:t>
      </w:r>
      <w:r w:rsidRPr="003972E9">
        <w:rPr>
          <w:i/>
          <w:sz w:val="22"/>
          <w:szCs w:val="22"/>
        </w:rPr>
        <w:t>calam</w:t>
      </w:r>
      <w:r w:rsidRPr="003972E9">
        <w:rPr>
          <w:sz w:val="22"/>
          <w:szCs w:val="22"/>
        </w:rPr>
        <w:t>), and be tuned back (</w:t>
      </w:r>
      <w:r w:rsidRPr="003972E9">
        <w:rPr>
          <w:i/>
          <w:sz w:val="22"/>
          <w:szCs w:val="22"/>
        </w:rPr>
        <w:t>shuv</w:t>
      </w:r>
      <w:r w:rsidRPr="003972E9">
        <w:rPr>
          <w:sz w:val="22"/>
          <w:szCs w:val="22"/>
        </w:rPr>
        <w:t xml:space="preserve">). Man has always mocked the work of Christ with the </w:t>
      </w:r>
      <w:r w:rsidRPr="003972E9">
        <w:rPr>
          <w:i/>
          <w:sz w:val="22"/>
          <w:szCs w:val="22"/>
        </w:rPr>
        <w:t xml:space="preserve">“Aha, aha” </w:t>
      </w:r>
      <w:r w:rsidRPr="003972E9">
        <w:rPr>
          <w:sz w:val="22"/>
          <w:szCs w:val="22"/>
        </w:rPr>
        <w:t>(</w:t>
      </w:r>
      <w:r w:rsidRPr="003972E9">
        <w:rPr>
          <w:i/>
          <w:sz w:val="22"/>
          <w:szCs w:val="22"/>
        </w:rPr>
        <w:t>he’ah he’ah</w:t>
      </w:r>
      <w:r w:rsidRPr="003972E9">
        <w:rPr>
          <w:sz w:val="22"/>
          <w:szCs w:val="22"/>
        </w:rPr>
        <w:t>)</w:t>
      </w:r>
      <w:r w:rsidRPr="003972E9">
        <w:rPr>
          <w:rStyle w:val="FootnoteReference"/>
          <w:sz w:val="22"/>
          <w:szCs w:val="22"/>
        </w:rPr>
        <w:footnoteReference w:id="8"/>
      </w:r>
      <w:r w:rsidRPr="003972E9">
        <w:rPr>
          <w:sz w:val="22"/>
          <w:szCs w:val="22"/>
        </w:rPr>
        <w:t xml:space="preserve"> jeering (cf. Acts 17:32).</w:t>
      </w:r>
    </w:p>
    <w:p w:rsidR="000069FD" w:rsidRPr="003972E9" w:rsidRDefault="000069FD" w:rsidP="000069FD">
      <w:pPr>
        <w:spacing w:line="276" w:lineRule="auto"/>
        <w:ind w:firstLine="720"/>
        <w:contextualSpacing/>
        <w:jc w:val="both"/>
        <w:rPr>
          <w:sz w:val="22"/>
          <w:szCs w:val="22"/>
        </w:rPr>
      </w:pPr>
      <w:r w:rsidRPr="003972E9">
        <w:rPr>
          <w:sz w:val="22"/>
          <w:szCs w:val="22"/>
        </w:rPr>
        <w:t xml:space="preserve">Although God loves the world (I Jn. 3:16), divine justice requires that the enemies of the cross suffer the vengeance of the Lord in this life and the life to come (Ps. 69:21-28; also Ps. 5:5; 7:11).  The psalmist David prophesied about Judas in one of the clearest imprecatory prayers towards an enemy of Christ, saying, </w:t>
      </w:r>
      <w:r w:rsidRPr="003972E9">
        <w:rPr>
          <w:i/>
          <w:sz w:val="22"/>
          <w:szCs w:val="22"/>
        </w:rPr>
        <w:t>“Let his days be few; and let another take his office”</w:t>
      </w:r>
      <w:r w:rsidRPr="003972E9">
        <w:rPr>
          <w:sz w:val="22"/>
          <w:szCs w:val="22"/>
        </w:rPr>
        <w:t xml:space="preserve"> (Ps. 109:8; Acts 1:20). Of course, the Lord’s five imprecations for vindication were fulfilled on Judas, on national Israel (AD 70), and eventually on all of the lost at the Great White Throne Judgment (Rev. 20:11-15).</w:t>
      </w:r>
    </w:p>
    <w:p w:rsidR="000069FD" w:rsidRPr="003972E9" w:rsidRDefault="000069FD" w:rsidP="000069FD">
      <w:pPr>
        <w:spacing w:line="276" w:lineRule="auto"/>
        <w:contextualSpacing/>
        <w:jc w:val="both"/>
        <w:rPr>
          <w:sz w:val="22"/>
          <w:szCs w:val="22"/>
        </w:rPr>
      </w:pPr>
      <w:r w:rsidRPr="003972E9">
        <w:rPr>
          <w:sz w:val="22"/>
          <w:szCs w:val="22"/>
        </w:rPr>
        <w:tab/>
        <w:t xml:space="preserve">In an interesting reversal, the Lord used the same kind of verb, the </w:t>
      </w:r>
      <w:r w:rsidRPr="003972E9">
        <w:rPr>
          <w:i/>
          <w:sz w:val="22"/>
          <w:szCs w:val="22"/>
        </w:rPr>
        <w:t>jussive</w:t>
      </w:r>
      <w:r w:rsidRPr="003972E9">
        <w:rPr>
          <w:sz w:val="22"/>
          <w:szCs w:val="22"/>
        </w:rPr>
        <w:t xml:space="preserve">, to petition the Father for blessing upon His children.   Those that seek the LORD and love His salvation need the spiritual empowerment to </w:t>
      </w:r>
      <w:r w:rsidRPr="003972E9">
        <w:rPr>
          <w:i/>
          <w:sz w:val="22"/>
          <w:szCs w:val="22"/>
        </w:rPr>
        <w:t>“rejoice”</w:t>
      </w:r>
      <w:r w:rsidRPr="003972E9">
        <w:rPr>
          <w:sz w:val="22"/>
          <w:szCs w:val="22"/>
        </w:rPr>
        <w:t xml:space="preserve"> (</w:t>
      </w:r>
      <w:proofErr w:type="spellStart"/>
      <w:r w:rsidRPr="003972E9">
        <w:rPr>
          <w:i/>
          <w:sz w:val="22"/>
          <w:szCs w:val="22"/>
        </w:rPr>
        <w:t>sos</w:t>
      </w:r>
      <w:proofErr w:type="spellEnd"/>
      <w:r w:rsidRPr="003972E9">
        <w:rPr>
          <w:sz w:val="22"/>
          <w:szCs w:val="22"/>
        </w:rPr>
        <w:t xml:space="preserve">) and to </w:t>
      </w:r>
      <w:r w:rsidRPr="003972E9">
        <w:rPr>
          <w:i/>
          <w:sz w:val="22"/>
          <w:szCs w:val="22"/>
        </w:rPr>
        <w:t>“be glad”</w:t>
      </w:r>
      <w:r w:rsidRPr="003972E9">
        <w:rPr>
          <w:sz w:val="22"/>
          <w:szCs w:val="22"/>
        </w:rPr>
        <w:t xml:space="preserve"> (</w:t>
      </w:r>
      <w:r w:rsidRPr="003972E9">
        <w:rPr>
          <w:i/>
          <w:sz w:val="22"/>
          <w:szCs w:val="22"/>
        </w:rPr>
        <w:t>samach</w:t>
      </w:r>
      <w:r w:rsidRPr="003972E9">
        <w:rPr>
          <w:sz w:val="22"/>
          <w:szCs w:val="22"/>
        </w:rPr>
        <w:t xml:space="preserve">).  Let them </w:t>
      </w:r>
      <w:r w:rsidRPr="003972E9">
        <w:rPr>
          <w:i/>
          <w:sz w:val="22"/>
          <w:szCs w:val="22"/>
        </w:rPr>
        <w:t>“say”</w:t>
      </w:r>
      <w:r w:rsidRPr="003972E9">
        <w:rPr>
          <w:sz w:val="22"/>
          <w:szCs w:val="22"/>
        </w:rPr>
        <w:t xml:space="preserve"> (</w:t>
      </w:r>
      <w:r w:rsidRPr="003972E9">
        <w:rPr>
          <w:i/>
          <w:sz w:val="22"/>
          <w:szCs w:val="22"/>
        </w:rPr>
        <w:t>‘amar</w:t>
      </w:r>
      <w:r w:rsidRPr="003972E9">
        <w:rPr>
          <w:sz w:val="22"/>
          <w:szCs w:val="22"/>
        </w:rPr>
        <w:t xml:space="preserve">), </w:t>
      </w:r>
      <w:r w:rsidRPr="003972E9">
        <w:rPr>
          <w:i/>
          <w:sz w:val="22"/>
          <w:szCs w:val="22"/>
        </w:rPr>
        <w:t>“let God be magnified</w:t>
      </w:r>
      <w:r w:rsidRPr="003972E9">
        <w:rPr>
          <w:sz w:val="22"/>
          <w:szCs w:val="22"/>
        </w:rPr>
        <w:t xml:space="preserve"> (</w:t>
      </w:r>
      <w:r w:rsidRPr="003972E9">
        <w:rPr>
          <w:i/>
          <w:sz w:val="22"/>
          <w:szCs w:val="22"/>
        </w:rPr>
        <w:t>gadal</w:t>
      </w:r>
      <w:r w:rsidRPr="003972E9">
        <w:rPr>
          <w:sz w:val="22"/>
          <w:szCs w:val="22"/>
        </w:rPr>
        <w:t xml:space="preserve">).” The Saviour concluded His petitions to the Father by claiming His humble status of being </w:t>
      </w:r>
      <w:r w:rsidRPr="003972E9">
        <w:rPr>
          <w:i/>
          <w:sz w:val="22"/>
          <w:szCs w:val="22"/>
        </w:rPr>
        <w:t>“poor</w:t>
      </w:r>
      <w:r w:rsidRPr="003972E9">
        <w:rPr>
          <w:sz w:val="22"/>
          <w:szCs w:val="22"/>
        </w:rPr>
        <w:t>” (</w:t>
      </w:r>
      <w:r w:rsidRPr="003972E9">
        <w:rPr>
          <w:i/>
          <w:sz w:val="22"/>
          <w:szCs w:val="22"/>
        </w:rPr>
        <w:t>`aniy</w:t>
      </w:r>
      <w:r w:rsidRPr="003972E9">
        <w:rPr>
          <w:sz w:val="22"/>
          <w:szCs w:val="22"/>
        </w:rPr>
        <w:t xml:space="preserve">) and </w:t>
      </w:r>
      <w:r w:rsidRPr="003972E9">
        <w:rPr>
          <w:i/>
          <w:sz w:val="22"/>
          <w:szCs w:val="22"/>
        </w:rPr>
        <w:t>“needy”</w:t>
      </w:r>
      <w:r w:rsidRPr="003972E9">
        <w:rPr>
          <w:sz w:val="22"/>
          <w:szCs w:val="22"/>
        </w:rPr>
        <w:t xml:space="preserve"> (</w:t>
      </w:r>
      <w:r w:rsidRPr="003972E9">
        <w:rPr>
          <w:i/>
          <w:sz w:val="22"/>
          <w:szCs w:val="22"/>
        </w:rPr>
        <w:t>‘</w:t>
      </w:r>
      <w:r w:rsidRPr="003972E9">
        <w:rPr>
          <w:rFonts w:eastAsiaTheme="minorHAnsi"/>
          <w:i/>
          <w:sz w:val="22"/>
          <w:szCs w:val="22"/>
          <w:lang w:bidi="he-IL"/>
        </w:rPr>
        <w:t>ebyon</w:t>
      </w:r>
      <w:r w:rsidRPr="003972E9">
        <w:rPr>
          <w:sz w:val="22"/>
          <w:szCs w:val="22"/>
        </w:rPr>
        <w:t xml:space="preserve">) while recognizing His complete dependence on God.  His Help and Deliverer, Who thought upon Him, was His God.  The Lord Jesus asked Jehovah to </w:t>
      </w:r>
      <w:r w:rsidRPr="003972E9">
        <w:rPr>
          <w:i/>
          <w:sz w:val="22"/>
          <w:szCs w:val="22"/>
        </w:rPr>
        <w:t>“make no tarrying</w:t>
      </w:r>
      <w:r w:rsidRPr="003972E9">
        <w:rPr>
          <w:sz w:val="22"/>
          <w:szCs w:val="22"/>
        </w:rPr>
        <w:t>” (</w:t>
      </w:r>
      <w:r w:rsidRPr="003972E9">
        <w:rPr>
          <w:i/>
          <w:sz w:val="22"/>
          <w:szCs w:val="22"/>
        </w:rPr>
        <w:t xml:space="preserve">‘al </w:t>
      </w:r>
      <w:proofErr w:type="spellStart"/>
      <w:r w:rsidRPr="003972E9">
        <w:rPr>
          <w:i/>
          <w:sz w:val="22"/>
          <w:szCs w:val="22"/>
        </w:rPr>
        <w:t>te’achar</w:t>
      </w:r>
      <w:proofErr w:type="spellEnd"/>
      <w:r w:rsidRPr="003972E9">
        <w:rPr>
          <w:sz w:val="22"/>
          <w:szCs w:val="22"/>
        </w:rPr>
        <w:t xml:space="preserve">).  Jesus of Nazareth spoke these words to the Father as He rejoiced in the privilege to provide so great salvation for man, with the help of the Father. When the divine “forsakenness” had ended, Jesus declared, </w:t>
      </w:r>
      <w:r w:rsidRPr="003972E9">
        <w:rPr>
          <w:i/>
          <w:sz w:val="22"/>
          <w:szCs w:val="22"/>
        </w:rPr>
        <w:t>“It is finished”</w:t>
      </w:r>
      <w:r w:rsidRPr="003972E9">
        <w:rPr>
          <w:sz w:val="22"/>
          <w:szCs w:val="22"/>
        </w:rPr>
        <w:t xml:space="preserve"> (Jn. 19:30).</w:t>
      </w:r>
      <w:r w:rsidRPr="003972E9">
        <w:rPr>
          <w:rStyle w:val="FootnoteReference"/>
          <w:sz w:val="22"/>
          <w:szCs w:val="22"/>
        </w:rPr>
        <w:footnoteReference w:id="9"/>
      </w:r>
    </w:p>
    <w:p w:rsidR="00B604D5" w:rsidRDefault="000069FD" w:rsidP="003972E9">
      <w:pPr>
        <w:spacing w:line="276" w:lineRule="auto"/>
        <w:contextualSpacing/>
        <w:jc w:val="both"/>
      </w:pPr>
      <w:r w:rsidRPr="003972E9">
        <w:rPr>
          <w:sz w:val="22"/>
          <w:szCs w:val="22"/>
        </w:rPr>
        <w:tab/>
        <w:t xml:space="preserve">Although David was constantly in need of help and deliverance, he prophesied the Saviour’s call to the Father while on the Cross. Just as the Lord reminded the Father about hasty deliverance, the psalmist wanted to remind his generation of the coming suffering Saviour by repeating and reminding of the essence of the messianic Psalm 40. Jesus reminded the Father and David reminded his present </w:t>
      </w:r>
      <w:proofErr w:type="gramStart"/>
      <w:r w:rsidRPr="003972E9">
        <w:rPr>
          <w:sz w:val="22"/>
          <w:szCs w:val="22"/>
        </w:rPr>
        <w:t>generation</w:t>
      </w:r>
      <w:r w:rsidRPr="003972E9">
        <w:rPr>
          <w:i/>
          <w:sz w:val="22"/>
          <w:szCs w:val="22"/>
        </w:rPr>
        <w:t>—“make</w:t>
      </w:r>
      <w:proofErr w:type="gramEnd"/>
      <w:r w:rsidRPr="003972E9">
        <w:rPr>
          <w:i/>
          <w:sz w:val="22"/>
          <w:szCs w:val="22"/>
        </w:rPr>
        <w:t xml:space="preserve"> haste</w:t>
      </w:r>
      <w:r w:rsidRPr="003972E9">
        <w:rPr>
          <w:sz w:val="22"/>
          <w:szCs w:val="22"/>
        </w:rPr>
        <w:t>”!</w:t>
      </w:r>
    </w:p>
    <w:sectPr w:rsidR="00B604D5" w:rsidSect="00546FF3">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54" w:rsidRDefault="00D25A54" w:rsidP="000069FD">
      <w:r>
        <w:separator/>
      </w:r>
    </w:p>
  </w:endnote>
  <w:endnote w:type="continuationSeparator" w:id="0">
    <w:p w:rsidR="00D25A54" w:rsidRDefault="00D25A54" w:rsidP="00006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whebb">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54" w:rsidRDefault="00D25A54" w:rsidP="000069FD">
      <w:r>
        <w:separator/>
      </w:r>
    </w:p>
  </w:footnote>
  <w:footnote w:type="continuationSeparator" w:id="0">
    <w:p w:rsidR="00D25A54" w:rsidRDefault="00D25A54" w:rsidP="000069FD">
      <w:r>
        <w:continuationSeparator/>
      </w:r>
    </w:p>
  </w:footnote>
  <w:footnote w:id="1">
    <w:p w:rsidR="000069FD" w:rsidRPr="005E4F57" w:rsidRDefault="000069FD" w:rsidP="000069FD">
      <w:pPr>
        <w:pStyle w:val="FootnoteText"/>
        <w:spacing w:line="276" w:lineRule="auto"/>
        <w:ind w:firstLine="720"/>
        <w:contextualSpacing/>
        <w:jc w:val="both"/>
        <w:rPr>
          <w:sz w:val="22"/>
          <w:szCs w:val="22"/>
        </w:rPr>
      </w:pPr>
      <w:r w:rsidRPr="005E4F57">
        <w:rPr>
          <w:rStyle w:val="FootnoteReference"/>
          <w:sz w:val="22"/>
          <w:szCs w:val="22"/>
        </w:rPr>
        <w:footnoteRef/>
      </w:r>
      <w:r w:rsidRPr="005E4F57">
        <w:rPr>
          <w:sz w:val="22"/>
          <w:szCs w:val="22"/>
        </w:rPr>
        <w:t xml:space="preserve">The </w:t>
      </w:r>
      <w:r w:rsidRPr="005E4F57">
        <w:rPr>
          <w:i/>
          <w:sz w:val="22"/>
          <w:szCs w:val="22"/>
        </w:rPr>
        <w:t xml:space="preserve">Hiphil </w:t>
      </w:r>
      <w:r w:rsidRPr="005E4F57">
        <w:rPr>
          <w:sz w:val="22"/>
          <w:szCs w:val="22"/>
        </w:rPr>
        <w:t xml:space="preserve">infinitive form comes from the verb </w:t>
      </w:r>
      <w:r w:rsidRPr="005E4F57">
        <w:rPr>
          <w:i/>
          <w:sz w:val="22"/>
          <w:szCs w:val="22"/>
        </w:rPr>
        <w:t>zacar</w:t>
      </w:r>
      <w:r w:rsidRPr="005E4F57">
        <w:rPr>
          <w:sz w:val="22"/>
          <w:szCs w:val="22"/>
        </w:rPr>
        <w:t xml:space="preserve"> (</w:t>
      </w:r>
      <w:proofErr w:type="gramStart"/>
      <w:r w:rsidRPr="005E4F57">
        <w:rPr>
          <w:sz w:val="22"/>
          <w:szCs w:val="22"/>
        </w:rPr>
        <w:t>233x</w:t>
      </w:r>
      <w:proofErr w:type="gramEnd"/>
      <w:r w:rsidRPr="005E4F57">
        <w:rPr>
          <w:sz w:val="22"/>
          <w:szCs w:val="22"/>
        </w:rPr>
        <w:t xml:space="preserve">) which means “to remember.” The </w:t>
      </w:r>
      <w:r w:rsidRPr="005E4F57">
        <w:rPr>
          <w:i/>
          <w:sz w:val="22"/>
          <w:szCs w:val="22"/>
        </w:rPr>
        <w:t>Hiphil</w:t>
      </w:r>
      <w:r w:rsidRPr="005E4F57">
        <w:rPr>
          <w:sz w:val="22"/>
          <w:szCs w:val="22"/>
        </w:rPr>
        <w:t xml:space="preserve"> stem is causative and the infinitive gives purpose.  </w:t>
      </w:r>
    </w:p>
  </w:footnote>
  <w:footnote w:id="2">
    <w:p w:rsidR="000069FD" w:rsidRPr="005E4F57" w:rsidRDefault="000069FD" w:rsidP="000069FD">
      <w:pPr>
        <w:pStyle w:val="FootnoteText"/>
        <w:spacing w:line="276" w:lineRule="auto"/>
        <w:ind w:firstLine="720"/>
        <w:contextualSpacing/>
        <w:jc w:val="both"/>
        <w:rPr>
          <w:sz w:val="22"/>
          <w:szCs w:val="22"/>
        </w:rPr>
      </w:pPr>
      <w:r w:rsidRPr="005E4F57">
        <w:rPr>
          <w:rStyle w:val="FootnoteReference"/>
          <w:sz w:val="22"/>
          <w:szCs w:val="22"/>
        </w:rPr>
        <w:footnoteRef/>
      </w:r>
      <w:r w:rsidRPr="005E4F57">
        <w:rPr>
          <w:sz w:val="22"/>
          <w:szCs w:val="22"/>
        </w:rPr>
        <w:t xml:space="preserve">Cf. </w:t>
      </w:r>
      <w:r>
        <w:rPr>
          <w:sz w:val="22"/>
          <w:szCs w:val="22"/>
        </w:rPr>
        <w:t xml:space="preserve">Thomas M. </w:t>
      </w:r>
      <w:r w:rsidRPr="005E4F57">
        <w:rPr>
          <w:sz w:val="22"/>
          <w:szCs w:val="22"/>
        </w:rPr>
        <w:t xml:space="preserve">Strouse, </w:t>
      </w:r>
      <w:r w:rsidRPr="005E4F57">
        <w:rPr>
          <w:i/>
          <w:sz w:val="22"/>
          <w:szCs w:val="22"/>
        </w:rPr>
        <w:t>The Word of Exhortation:  A Commentary on The Epistle of Paul the Apostle to the Hebrews</w:t>
      </w:r>
      <w:r w:rsidRPr="005E4F57">
        <w:rPr>
          <w:sz w:val="22"/>
          <w:szCs w:val="22"/>
        </w:rPr>
        <w:t xml:space="preserve"> </w:t>
      </w:r>
      <w:r>
        <w:rPr>
          <w:sz w:val="22"/>
          <w:szCs w:val="22"/>
        </w:rPr>
        <w:t xml:space="preserve">(Cromwell, CT: Bible Baptist Theological Press, 2018), </w:t>
      </w:r>
      <w:r w:rsidRPr="005E4F57">
        <w:rPr>
          <w:sz w:val="22"/>
          <w:szCs w:val="22"/>
        </w:rPr>
        <w:t>pp. 453-456.</w:t>
      </w:r>
    </w:p>
  </w:footnote>
  <w:footnote w:id="3">
    <w:p w:rsidR="000069FD" w:rsidRPr="005E4F57" w:rsidRDefault="000069FD" w:rsidP="000069FD">
      <w:pPr>
        <w:pStyle w:val="FootnoteText"/>
        <w:spacing w:line="276" w:lineRule="auto"/>
        <w:ind w:firstLine="720"/>
        <w:contextualSpacing/>
        <w:jc w:val="both"/>
        <w:rPr>
          <w:sz w:val="22"/>
          <w:szCs w:val="22"/>
        </w:rPr>
      </w:pPr>
      <w:r w:rsidRPr="005E4F57">
        <w:rPr>
          <w:rStyle w:val="FootnoteReference"/>
          <w:sz w:val="22"/>
          <w:szCs w:val="22"/>
        </w:rPr>
        <w:footnoteRef/>
      </w:r>
      <w:r w:rsidRPr="005E4F57">
        <w:rPr>
          <w:sz w:val="22"/>
          <w:szCs w:val="22"/>
        </w:rPr>
        <w:t xml:space="preserve">See Strouse, </w:t>
      </w:r>
      <w:r w:rsidRPr="005E4F57">
        <w:rPr>
          <w:i/>
          <w:sz w:val="22"/>
          <w:szCs w:val="22"/>
        </w:rPr>
        <w:t>An Exegesis of Psalms 1-41</w:t>
      </w:r>
      <w:r w:rsidRPr="005E4F57">
        <w:rPr>
          <w:sz w:val="22"/>
          <w:szCs w:val="22"/>
        </w:rPr>
        <w:t>, pp. 349-360.</w:t>
      </w:r>
    </w:p>
  </w:footnote>
  <w:footnote w:id="4">
    <w:p w:rsidR="000069FD" w:rsidRPr="000F3B86" w:rsidRDefault="000069FD" w:rsidP="000069FD">
      <w:pPr>
        <w:pStyle w:val="FootnoteText"/>
        <w:spacing w:line="276" w:lineRule="auto"/>
        <w:ind w:firstLine="720"/>
        <w:contextualSpacing/>
        <w:jc w:val="both"/>
        <w:rPr>
          <w:sz w:val="22"/>
          <w:szCs w:val="22"/>
        </w:rPr>
      </w:pPr>
      <w:r w:rsidRPr="000F3B86">
        <w:rPr>
          <w:rStyle w:val="FootnoteReference"/>
          <w:sz w:val="22"/>
          <w:szCs w:val="22"/>
        </w:rPr>
        <w:footnoteRef/>
      </w:r>
      <w:r w:rsidRPr="000F3B86">
        <w:rPr>
          <w:sz w:val="22"/>
          <w:szCs w:val="22"/>
        </w:rPr>
        <w:t xml:space="preserve">Paul emphasized the one and final sacrifice for the Jews and </w:t>
      </w:r>
      <w:r>
        <w:rPr>
          <w:sz w:val="22"/>
          <w:szCs w:val="22"/>
        </w:rPr>
        <w:t xml:space="preserve">the </w:t>
      </w:r>
      <w:r w:rsidRPr="000F3B86">
        <w:rPr>
          <w:sz w:val="22"/>
          <w:szCs w:val="22"/>
        </w:rPr>
        <w:t xml:space="preserve">fulfillment </w:t>
      </w:r>
      <w:r>
        <w:rPr>
          <w:sz w:val="22"/>
          <w:szCs w:val="22"/>
        </w:rPr>
        <w:t xml:space="preserve">of </w:t>
      </w:r>
      <w:r w:rsidRPr="000F3B86">
        <w:rPr>
          <w:sz w:val="22"/>
          <w:szCs w:val="22"/>
        </w:rPr>
        <w:t xml:space="preserve">fifteen hundred years of sacrifices, saying, </w:t>
      </w:r>
      <w:r w:rsidRPr="000F3B86">
        <w:rPr>
          <w:i/>
          <w:sz w:val="22"/>
          <w:szCs w:val="22"/>
        </w:rPr>
        <w:t>“</w:t>
      </w:r>
      <w:r w:rsidRPr="000F3B86">
        <w:rPr>
          <w:rFonts w:eastAsiaTheme="minorHAnsi"/>
          <w:i/>
          <w:sz w:val="22"/>
          <w:szCs w:val="22"/>
          <w:lang w:bidi="he-IL"/>
        </w:rPr>
        <w:t xml:space="preserve">By </w:t>
      </w:r>
      <w:proofErr w:type="gramStart"/>
      <w:r w:rsidRPr="000F3B86">
        <w:rPr>
          <w:rFonts w:eastAsiaTheme="minorHAnsi"/>
          <w:i/>
          <w:sz w:val="22"/>
          <w:szCs w:val="22"/>
          <w:lang w:bidi="he-IL"/>
        </w:rPr>
        <w:t>the which</w:t>
      </w:r>
      <w:proofErr w:type="gramEnd"/>
      <w:r w:rsidRPr="000F3B86">
        <w:rPr>
          <w:rFonts w:eastAsiaTheme="minorHAnsi"/>
          <w:i/>
          <w:sz w:val="22"/>
          <w:szCs w:val="22"/>
          <w:lang w:bidi="he-IL"/>
        </w:rPr>
        <w:t xml:space="preserve"> will we are sanctified through the offering of the body of Jesus Christ once for all</w:t>
      </w:r>
      <w:r w:rsidRPr="000F3B86">
        <w:rPr>
          <w:i/>
          <w:sz w:val="22"/>
          <w:szCs w:val="22"/>
        </w:rPr>
        <w:t xml:space="preserve">” </w:t>
      </w:r>
      <w:r w:rsidRPr="000F3B86">
        <w:rPr>
          <w:sz w:val="22"/>
          <w:szCs w:val="22"/>
        </w:rPr>
        <w:t>(</w:t>
      </w:r>
      <w:r>
        <w:rPr>
          <w:sz w:val="22"/>
          <w:szCs w:val="22"/>
        </w:rPr>
        <w:t>Heb. 10:10</w:t>
      </w:r>
      <w:r w:rsidRPr="000F3B86">
        <w:rPr>
          <w:sz w:val="22"/>
          <w:szCs w:val="22"/>
        </w:rPr>
        <w:t xml:space="preserve">).   </w:t>
      </w:r>
    </w:p>
  </w:footnote>
  <w:footnote w:id="5">
    <w:p w:rsidR="000069FD" w:rsidRPr="0094324C" w:rsidRDefault="000069FD" w:rsidP="000069FD">
      <w:pPr>
        <w:pStyle w:val="FootnoteText"/>
        <w:spacing w:line="276" w:lineRule="auto"/>
        <w:ind w:firstLine="720"/>
        <w:contextualSpacing/>
        <w:jc w:val="both"/>
        <w:rPr>
          <w:sz w:val="22"/>
          <w:szCs w:val="22"/>
        </w:rPr>
      </w:pPr>
      <w:r w:rsidRPr="0094324C">
        <w:rPr>
          <w:rStyle w:val="FootnoteReference"/>
          <w:sz w:val="22"/>
          <w:szCs w:val="22"/>
        </w:rPr>
        <w:footnoteRef/>
      </w:r>
      <w:r>
        <w:rPr>
          <w:sz w:val="22"/>
          <w:szCs w:val="22"/>
        </w:rPr>
        <w:t xml:space="preserve">The </w:t>
      </w:r>
      <w:r w:rsidRPr="0094324C">
        <w:rPr>
          <w:i/>
          <w:sz w:val="22"/>
          <w:szCs w:val="22"/>
        </w:rPr>
        <w:t>KJV</w:t>
      </w:r>
      <w:r>
        <w:rPr>
          <w:sz w:val="22"/>
          <w:szCs w:val="22"/>
        </w:rPr>
        <w:t xml:space="preserve"> precisely translated the Hebrew infinitive </w:t>
      </w:r>
      <w:r w:rsidRPr="0025047E">
        <w:rPr>
          <w:i/>
          <w:sz w:val="22"/>
          <w:szCs w:val="22"/>
        </w:rPr>
        <w:t>“to bring to remembrance”</w:t>
      </w:r>
      <w:r>
        <w:rPr>
          <w:sz w:val="22"/>
          <w:szCs w:val="22"/>
        </w:rPr>
        <w:t xml:space="preserve">!  </w:t>
      </w:r>
      <w:r w:rsidRPr="0094324C">
        <w:rPr>
          <w:sz w:val="22"/>
          <w:szCs w:val="22"/>
        </w:rPr>
        <w:t xml:space="preserve"> </w:t>
      </w:r>
      <w:r>
        <w:rPr>
          <w:sz w:val="22"/>
          <w:szCs w:val="22"/>
        </w:rPr>
        <w:t>The modern versions failed miserably in translation and interpretation. For instance, the Hebrew infinitive received malapropos renderings such as “for the memorial offering” (</w:t>
      </w:r>
      <w:r w:rsidRPr="0025047E">
        <w:rPr>
          <w:i/>
          <w:sz w:val="22"/>
          <w:szCs w:val="22"/>
        </w:rPr>
        <w:t>RSV</w:t>
      </w:r>
      <w:r>
        <w:rPr>
          <w:sz w:val="22"/>
          <w:szCs w:val="22"/>
        </w:rPr>
        <w:t xml:space="preserve"> and </w:t>
      </w:r>
      <w:r w:rsidRPr="0025047E">
        <w:rPr>
          <w:i/>
          <w:sz w:val="22"/>
          <w:szCs w:val="22"/>
        </w:rPr>
        <w:t>ESV</w:t>
      </w:r>
      <w:r>
        <w:rPr>
          <w:sz w:val="22"/>
          <w:szCs w:val="22"/>
        </w:rPr>
        <w:t>), “A petition” (</w:t>
      </w:r>
      <w:r w:rsidRPr="0025047E">
        <w:rPr>
          <w:i/>
          <w:sz w:val="22"/>
          <w:szCs w:val="22"/>
        </w:rPr>
        <w:t>NIV</w:t>
      </w:r>
      <w:r>
        <w:rPr>
          <w:sz w:val="22"/>
          <w:szCs w:val="22"/>
        </w:rPr>
        <w:t>), “for a memorial” (</w:t>
      </w:r>
      <w:r w:rsidRPr="0025047E">
        <w:rPr>
          <w:i/>
          <w:sz w:val="22"/>
          <w:szCs w:val="22"/>
        </w:rPr>
        <w:t>NASV</w:t>
      </w:r>
      <w:r>
        <w:rPr>
          <w:sz w:val="22"/>
          <w:szCs w:val="22"/>
        </w:rPr>
        <w:t>), omitted (</w:t>
      </w:r>
      <w:r w:rsidRPr="0025047E">
        <w:rPr>
          <w:i/>
          <w:sz w:val="22"/>
          <w:szCs w:val="22"/>
        </w:rPr>
        <w:t>ASV</w:t>
      </w:r>
      <w:r>
        <w:rPr>
          <w:sz w:val="22"/>
          <w:szCs w:val="22"/>
        </w:rPr>
        <w:t>), and “written to get God’s attention” (</w:t>
      </w:r>
      <w:r w:rsidRPr="0025047E">
        <w:rPr>
          <w:i/>
          <w:sz w:val="22"/>
          <w:szCs w:val="22"/>
        </w:rPr>
        <w:t>NET</w:t>
      </w:r>
      <w:r>
        <w:rPr>
          <w:sz w:val="22"/>
          <w:szCs w:val="22"/>
        </w:rPr>
        <w:t xml:space="preserve">).  </w:t>
      </w:r>
    </w:p>
  </w:footnote>
  <w:footnote w:id="6">
    <w:p w:rsidR="000069FD" w:rsidRPr="00CA2E1C" w:rsidRDefault="000069FD" w:rsidP="000069FD">
      <w:pPr>
        <w:pStyle w:val="FootnoteText"/>
        <w:spacing w:line="276" w:lineRule="auto"/>
        <w:ind w:firstLine="720"/>
        <w:contextualSpacing/>
        <w:jc w:val="both"/>
        <w:rPr>
          <w:sz w:val="22"/>
          <w:szCs w:val="22"/>
        </w:rPr>
      </w:pPr>
      <w:r w:rsidRPr="0094324C">
        <w:rPr>
          <w:rStyle w:val="FootnoteReference"/>
          <w:sz w:val="22"/>
          <w:szCs w:val="22"/>
        </w:rPr>
        <w:footnoteRef/>
      </w:r>
      <w:r w:rsidRPr="0094324C">
        <w:rPr>
          <w:sz w:val="22"/>
          <w:szCs w:val="22"/>
        </w:rPr>
        <w:t>The</w:t>
      </w:r>
      <w:r>
        <w:rPr>
          <w:sz w:val="22"/>
          <w:szCs w:val="22"/>
        </w:rPr>
        <w:t xml:space="preserve"> </w:t>
      </w:r>
      <w:r w:rsidRPr="00CA2E1C">
        <w:rPr>
          <w:i/>
          <w:sz w:val="22"/>
          <w:szCs w:val="22"/>
        </w:rPr>
        <w:t>Qal</w:t>
      </w:r>
      <w:r>
        <w:rPr>
          <w:sz w:val="22"/>
          <w:szCs w:val="22"/>
        </w:rPr>
        <w:t xml:space="preserve"> imperative masculine singular form from </w:t>
      </w:r>
      <w:r w:rsidRPr="00CA2E1C">
        <w:rPr>
          <w:i/>
          <w:sz w:val="22"/>
          <w:szCs w:val="22"/>
        </w:rPr>
        <w:t>chush</w:t>
      </w:r>
      <w:r>
        <w:rPr>
          <w:sz w:val="22"/>
          <w:szCs w:val="22"/>
        </w:rPr>
        <w:t xml:space="preserve"> (</w:t>
      </w:r>
      <w:proofErr w:type="gramStart"/>
      <w:r>
        <w:rPr>
          <w:sz w:val="22"/>
          <w:szCs w:val="22"/>
        </w:rPr>
        <w:t>20x</w:t>
      </w:r>
      <w:proofErr w:type="gramEnd"/>
      <w:r>
        <w:rPr>
          <w:sz w:val="22"/>
          <w:szCs w:val="22"/>
        </w:rPr>
        <w:t xml:space="preserve">) was directed to God the Father while the Son was suffering. </w:t>
      </w:r>
      <w:r w:rsidRPr="00CA2E1C">
        <w:rPr>
          <w:sz w:val="22"/>
          <w:szCs w:val="22"/>
        </w:rPr>
        <w:t xml:space="preserve"> </w:t>
      </w:r>
    </w:p>
  </w:footnote>
  <w:footnote w:id="7">
    <w:p w:rsidR="000069FD" w:rsidRDefault="000069FD" w:rsidP="000069FD">
      <w:pPr>
        <w:autoSpaceDE w:val="0"/>
        <w:autoSpaceDN w:val="0"/>
        <w:adjustRightInd w:val="0"/>
        <w:spacing w:line="276" w:lineRule="auto"/>
        <w:ind w:firstLine="720"/>
        <w:contextualSpacing/>
        <w:jc w:val="both"/>
      </w:pPr>
      <w:r w:rsidRPr="00102FDE">
        <w:rPr>
          <w:rStyle w:val="FootnoteReference"/>
          <w:sz w:val="22"/>
          <w:szCs w:val="22"/>
        </w:rPr>
        <w:footnoteRef/>
      </w:r>
      <w:r w:rsidRPr="00102FDE">
        <w:rPr>
          <w:sz w:val="22"/>
          <w:szCs w:val="22"/>
        </w:rPr>
        <w:t xml:space="preserve">Cf. </w:t>
      </w:r>
      <w:r w:rsidRPr="00102FDE">
        <w:rPr>
          <w:i/>
          <w:sz w:val="22"/>
          <w:szCs w:val="22"/>
        </w:rPr>
        <w:t>“</w:t>
      </w:r>
      <w:r w:rsidRPr="00102FDE">
        <w:rPr>
          <w:rFonts w:eastAsiaTheme="minorHAnsi"/>
          <w:i/>
          <w:sz w:val="22"/>
          <w:szCs w:val="22"/>
          <w:lang w:bidi="he-IL"/>
        </w:rPr>
        <w:t>The LORD was ready to save me: therefore we will sing my songs to the stringed instruments all the days of our life in the house of the LORD</w:t>
      </w:r>
      <w:r w:rsidRPr="00102FDE">
        <w:rPr>
          <w:i/>
          <w:sz w:val="22"/>
          <w:szCs w:val="22"/>
        </w:rPr>
        <w:t>”</w:t>
      </w:r>
      <w:r>
        <w:t xml:space="preserve"> (Isa. 38:20). </w:t>
      </w:r>
    </w:p>
  </w:footnote>
  <w:footnote w:id="8">
    <w:p w:rsidR="000069FD" w:rsidRPr="00102FDE" w:rsidRDefault="000069FD" w:rsidP="000069FD">
      <w:pPr>
        <w:pStyle w:val="FootnoteText"/>
        <w:spacing w:line="276" w:lineRule="auto"/>
        <w:ind w:firstLine="720"/>
        <w:contextualSpacing/>
        <w:jc w:val="both"/>
        <w:rPr>
          <w:sz w:val="22"/>
          <w:szCs w:val="22"/>
        </w:rPr>
      </w:pPr>
      <w:r w:rsidRPr="00102FDE">
        <w:rPr>
          <w:rStyle w:val="FootnoteReference"/>
          <w:sz w:val="22"/>
          <w:szCs w:val="22"/>
        </w:rPr>
        <w:footnoteRef/>
      </w:r>
      <w:r w:rsidRPr="00102FDE">
        <w:rPr>
          <w:sz w:val="22"/>
          <w:szCs w:val="22"/>
        </w:rPr>
        <w:t xml:space="preserve">See also Pss. 35:21 and 40:15. </w:t>
      </w:r>
    </w:p>
  </w:footnote>
  <w:footnote w:id="9">
    <w:p w:rsidR="000069FD" w:rsidRPr="00102FDE" w:rsidRDefault="000069FD" w:rsidP="000069FD">
      <w:pPr>
        <w:autoSpaceDE w:val="0"/>
        <w:autoSpaceDN w:val="0"/>
        <w:adjustRightInd w:val="0"/>
        <w:spacing w:line="276" w:lineRule="auto"/>
        <w:ind w:firstLine="720"/>
        <w:contextualSpacing/>
        <w:jc w:val="both"/>
        <w:rPr>
          <w:sz w:val="22"/>
          <w:szCs w:val="22"/>
        </w:rPr>
      </w:pPr>
      <w:r w:rsidRPr="00102FDE">
        <w:rPr>
          <w:rStyle w:val="FootnoteReference"/>
          <w:sz w:val="22"/>
          <w:szCs w:val="22"/>
        </w:rPr>
        <w:footnoteRef/>
      </w:r>
      <w:r w:rsidRPr="002D42AC">
        <w:rPr>
          <w:sz w:val="22"/>
          <w:szCs w:val="22"/>
        </w:rPr>
        <w:t>See</w:t>
      </w:r>
      <w:r>
        <w:rPr>
          <w:i/>
          <w:sz w:val="22"/>
          <w:szCs w:val="22"/>
        </w:rPr>
        <w:t xml:space="preserve"> </w:t>
      </w:r>
      <w:r w:rsidRPr="002D42AC">
        <w:rPr>
          <w:i/>
          <w:sz w:val="22"/>
          <w:szCs w:val="22"/>
        </w:rPr>
        <w:t>“</w:t>
      </w:r>
      <w:r w:rsidRPr="002D42AC">
        <w:rPr>
          <w:rFonts w:eastAsiaTheme="minorHAnsi"/>
          <w:i/>
          <w:sz w:val="22"/>
          <w:szCs w:val="22"/>
          <w:lang w:bidi="he-IL"/>
        </w:rPr>
        <w:t>My God, my God, why hast thou forsaken me? why art thou so far from helping me, and from the words of my roaring?</w:t>
      </w:r>
      <w:r w:rsidRPr="002D42AC">
        <w:rPr>
          <w:i/>
          <w:sz w:val="22"/>
          <w:szCs w:val="22"/>
        </w:rPr>
        <w:t>”</w:t>
      </w:r>
      <w:r w:rsidRPr="00102FDE">
        <w:rPr>
          <w:sz w:val="22"/>
          <w:szCs w:val="22"/>
        </w:rPr>
        <w:t xml:space="preserve"> (</w:t>
      </w:r>
      <w:r>
        <w:rPr>
          <w:sz w:val="22"/>
          <w:szCs w:val="22"/>
        </w:rPr>
        <w:t>Ps. 22:1; cf. also Mt. 27:46 and Mk. 15:34</w:t>
      </w:r>
      <w:r w:rsidRPr="00102FDE">
        <w:rPr>
          <w:sz w:val="22"/>
          <w:szCs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0069FD"/>
    <w:rsid w:val="000069FD"/>
    <w:rsid w:val="001C2707"/>
    <w:rsid w:val="00387A88"/>
    <w:rsid w:val="003972E9"/>
    <w:rsid w:val="004632D6"/>
    <w:rsid w:val="004B088E"/>
    <w:rsid w:val="00546FF3"/>
    <w:rsid w:val="007C67E5"/>
    <w:rsid w:val="00880FE6"/>
    <w:rsid w:val="009813DA"/>
    <w:rsid w:val="00B604D5"/>
    <w:rsid w:val="00CB093A"/>
    <w:rsid w:val="00D25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FD"/>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069FD"/>
    <w:rPr>
      <w:sz w:val="20"/>
      <w:szCs w:val="20"/>
    </w:rPr>
  </w:style>
  <w:style w:type="character" w:customStyle="1" w:styleId="FootnoteTextChar">
    <w:name w:val="Footnote Text Char"/>
    <w:basedOn w:val="DefaultParagraphFont"/>
    <w:link w:val="FootnoteText"/>
    <w:semiHidden/>
    <w:rsid w:val="000069FD"/>
    <w:rPr>
      <w:rFonts w:ascii="Times New Roman" w:eastAsia="Times New Roman" w:hAnsi="Times New Roman" w:cs="Times New Roman"/>
      <w:sz w:val="20"/>
      <w:szCs w:val="20"/>
    </w:rPr>
  </w:style>
  <w:style w:type="character" w:styleId="FootnoteReference">
    <w:name w:val="footnote reference"/>
    <w:basedOn w:val="DefaultParagraphFont"/>
    <w:semiHidden/>
    <w:rsid w:val="000069F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3</cp:revision>
  <dcterms:created xsi:type="dcterms:W3CDTF">2024-08-05T10:50:00Z</dcterms:created>
  <dcterms:modified xsi:type="dcterms:W3CDTF">2024-08-06T18:34:00Z</dcterms:modified>
</cp:coreProperties>
</file>